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E6" w:rsidRPr="00006D9D" w:rsidRDefault="002E27E6" w:rsidP="002E27E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6D9D">
        <w:rPr>
          <w:rFonts w:ascii="Arial" w:hAnsi="Arial" w:cs="Arial"/>
          <w:b/>
          <w:sz w:val="22"/>
          <w:szCs w:val="22"/>
        </w:rPr>
        <w:t>EL LIC. ROMÁN ALBERTO CEPEDA GONZÁLEZ, PRESIDENTE DEL R. AYUNTAMIENTO DEL MUNICIPIO DE TORREÓN, ESTADO DE COAHUILA DE ZARAGOZA A LOS HABITANTES DEL MISMO, LES HACE SABER:</w:t>
      </w:r>
    </w:p>
    <w:p w:rsidR="002E27E6" w:rsidRPr="00006D9D" w:rsidRDefault="002E27E6" w:rsidP="002E27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7E6" w:rsidRPr="00006D9D" w:rsidRDefault="002E27E6" w:rsidP="002E27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D9D">
        <w:rPr>
          <w:rFonts w:ascii="Arial" w:hAnsi="Arial" w:cs="Arial"/>
          <w:sz w:val="22"/>
          <w:szCs w:val="22"/>
        </w:rPr>
        <w:t xml:space="preserve">Que el R. Ayuntamiento que preside, en el uso de la facultad que le confieren los artículos 115, fracción II, de la Constitución Política de los Estados Unidos Mexicanos;  158-C y el inciso 1, fracción I,  del artículo 158-U de la Constitución Política del Estado de Coahuila de Zaragoza, los artículos 24, 102 fracción I, Inciso 1, 173,  175, 176, 181 y 182 fracción I  del Código Municipal del Estado de Coahuila de Zaragoza y por lo establecido en los artículos 122, 124 inciso a)  y 125 del Reglamento Interior del Republicano Ayuntamiento de Torreón, Coahuila de Zaragoza, en la </w:t>
      </w:r>
      <w:r>
        <w:rPr>
          <w:rFonts w:ascii="Arial" w:hAnsi="Arial" w:cs="Arial"/>
          <w:sz w:val="22"/>
          <w:szCs w:val="22"/>
        </w:rPr>
        <w:t>Vigésima Segunda</w:t>
      </w:r>
      <w:r w:rsidRPr="00006D9D">
        <w:rPr>
          <w:rFonts w:ascii="Arial" w:hAnsi="Arial" w:cs="Arial"/>
          <w:sz w:val="22"/>
          <w:szCs w:val="22"/>
        </w:rPr>
        <w:t xml:space="preserve"> Sesión Ordinaria de Cabildo celebrada el día </w:t>
      </w:r>
      <w:r>
        <w:rPr>
          <w:rFonts w:ascii="Arial" w:hAnsi="Arial" w:cs="Arial"/>
          <w:sz w:val="22"/>
          <w:szCs w:val="22"/>
        </w:rPr>
        <w:t>27</w:t>
      </w:r>
      <w:r w:rsidRPr="00006D9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 w:rsidRPr="00006D9D">
        <w:rPr>
          <w:rFonts w:ascii="Arial" w:hAnsi="Arial" w:cs="Arial"/>
          <w:sz w:val="22"/>
          <w:szCs w:val="22"/>
        </w:rPr>
        <w:t xml:space="preserve"> de 2022,</w:t>
      </w:r>
      <w:r>
        <w:rPr>
          <w:rFonts w:ascii="Arial" w:hAnsi="Arial" w:cs="Arial"/>
          <w:sz w:val="22"/>
          <w:szCs w:val="22"/>
        </w:rPr>
        <w:t xml:space="preserve"> se</w:t>
      </w:r>
      <w:r w:rsidRPr="00006D9D">
        <w:rPr>
          <w:rFonts w:ascii="Arial" w:hAnsi="Arial" w:cs="Arial"/>
          <w:sz w:val="22"/>
          <w:szCs w:val="22"/>
        </w:rPr>
        <w:t xml:space="preserve"> aprobó la:</w:t>
      </w:r>
    </w:p>
    <w:p w:rsidR="002E27E6" w:rsidRDefault="002E27E6" w:rsidP="002E27E6">
      <w:pPr>
        <w:tabs>
          <w:tab w:val="left" w:pos="8222"/>
        </w:tabs>
        <w:spacing w:line="276" w:lineRule="auto"/>
        <w:ind w:left="851" w:right="616"/>
        <w:jc w:val="center"/>
        <w:rPr>
          <w:rFonts w:ascii="Arial" w:eastAsia="Arial Narrow" w:hAnsi="Arial" w:cs="Arial"/>
          <w:b/>
          <w:color w:val="000000"/>
          <w:sz w:val="22"/>
          <w:szCs w:val="22"/>
        </w:rPr>
      </w:pPr>
    </w:p>
    <w:p w:rsidR="002E27E6" w:rsidRDefault="002E27E6" w:rsidP="00DF4278">
      <w:pPr>
        <w:jc w:val="both"/>
        <w:rPr>
          <w:rFonts w:ascii="Arial" w:hAnsi="Arial" w:cs="Arial"/>
          <w:sz w:val="22"/>
          <w:szCs w:val="22"/>
        </w:rPr>
      </w:pPr>
    </w:p>
    <w:p w:rsidR="002E27E6" w:rsidRDefault="002E27E6" w:rsidP="00DF4278">
      <w:pPr>
        <w:jc w:val="both"/>
        <w:rPr>
          <w:rFonts w:ascii="Arial" w:hAnsi="Arial" w:cs="Arial"/>
          <w:sz w:val="22"/>
          <w:szCs w:val="22"/>
        </w:rPr>
      </w:pPr>
    </w:p>
    <w:p w:rsidR="002E27E6" w:rsidRPr="002E27E6" w:rsidRDefault="002E27E6" w:rsidP="002E27E6">
      <w:pPr>
        <w:pBdr>
          <w:between w:val="nil"/>
        </w:pBdr>
        <w:ind w:left="426" w:right="19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REFORMA AL </w:t>
      </w:r>
      <w:r w:rsidRPr="002E27E6">
        <w:rPr>
          <w:rFonts w:ascii="Arial" w:hAnsi="Arial" w:cs="Arial"/>
          <w:b/>
          <w:color w:val="000000"/>
          <w:sz w:val="22"/>
          <w:szCs w:val="22"/>
        </w:rPr>
        <w:t>REGLAMENTO DE SALUD PARA EL MUNICIPIO DE TORREÓN, COAHUILA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F4278" w:rsidRPr="00AC7A6C" w:rsidRDefault="00DF4278" w:rsidP="00DF42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4278" w:rsidRPr="002E27E6" w:rsidRDefault="00DF4278" w:rsidP="00DF4278">
      <w:pPr>
        <w:numPr>
          <w:ilvl w:val="0"/>
          <w:numId w:val="2"/>
        </w:numPr>
        <w:pBdr>
          <w:between w:val="nil"/>
        </w:pBdr>
        <w:ind w:left="426" w:right="191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27E6">
        <w:rPr>
          <w:rFonts w:ascii="Arial" w:hAnsi="Arial" w:cs="Arial"/>
          <w:b/>
          <w:color w:val="000000"/>
          <w:sz w:val="22"/>
          <w:szCs w:val="22"/>
        </w:rPr>
        <w:t>EXPOSICIÓN DE MOTIVOS</w:t>
      </w:r>
    </w:p>
    <w:p w:rsidR="00DF4278" w:rsidRPr="00AC7A6C" w:rsidRDefault="00DF4278" w:rsidP="00DF4278">
      <w:pPr>
        <w:pBdr>
          <w:between w:val="nil"/>
        </w:pBdr>
        <w:ind w:left="426" w:right="191"/>
        <w:rPr>
          <w:rFonts w:ascii="Arial" w:hAnsi="Arial" w:cs="Arial"/>
          <w:color w:val="000000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“La Organización Mundial de la Salud define a la salud mental como un estado de bienestar en donde el individuo es consciente de sus propias capacidades, puede afrontar las tensiones de la vida diaria, además de ser productivo y contribuir con su comunidad.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La salud mental es un estado de equilibrio entre las personas y el entorno sociocultural que les rodea, lo cual incluye el bienestar emocional, psíquico y social. Estos elementos influirán en la forma en cómo piensa, siente y actúa ante situaciones de estrés.”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En el entendido de lo anteriormente expuesto es menester señalar que si bien el ámbito de salud en general corresponde a la Federación y es delegada en algunos aspectos específicos a las Entidades Federativas conforme a lo dispuesto por la Constitución General, el Municipio de Torreón investido con autonomía y personalidad jurídica mantiene dentro de su reglamentación un dispositivo legal en materia de salud, de forma que a criterio individual es necesario contar con la adecuación necesaria en el ámbito local, en el entendido que se debe homologar la legislación Federal, Estatal y la propia del Municipio.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 xml:space="preserve">Debemos entender, además, la necesidad de modificar la concepción de la sociedad </w:t>
      </w:r>
      <w:r w:rsidR="003A2AF8" w:rsidRPr="00AC7A6C">
        <w:rPr>
          <w:rFonts w:ascii="Arial" w:hAnsi="Arial" w:cs="Arial"/>
          <w:sz w:val="22"/>
          <w:szCs w:val="22"/>
        </w:rPr>
        <w:t>hacía</w:t>
      </w:r>
      <w:r w:rsidRPr="00AC7A6C">
        <w:rPr>
          <w:rFonts w:ascii="Arial" w:hAnsi="Arial" w:cs="Arial"/>
          <w:sz w:val="22"/>
          <w:szCs w:val="22"/>
        </w:rPr>
        <w:t xml:space="preserve"> con la salud, en este caso comprender que el derecho humano a la salud va más allá de aquel referente a la salud física, sino que debe contemplar un espectro </w:t>
      </w:r>
      <w:r w:rsidRPr="00AC7A6C">
        <w:rPr>
          <w:rFonts w:ascii="Arial" w:hAnsi="Arial" w:cs="Arial"/>
          <w:sz w:val="22"/>
          <w:szCs w:val="22"/>
        </w:rPr>
        <w:lastRenderedPageBreak/>
        <w:t>integral para así garantizar de manera fehaciente los servicios y/o políticas públicas necesarias ejercerlo. Sirva de apoyo la siguiente tesis asilada.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Registro digital: 2020589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Instancia: Segunda Sala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Décima Época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Materias(s): Constitucional, Administrativa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Tesis: 2a. LVIII/2019 (10a.)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Fuente: Gaceta del Semanario Judicial de la Federación. Libro 70, Septiembre de 2019, Tomo I, página 420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Tipo: Aislada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DERECHO A LA SALUD MENTAL. DEBE PROTEGERSE DE MANERA INTEGRAL Y ELLO INCLUYE, CUANDO MENOS, EL SUMINISTRO DE MEDICAMENTOS BÁSICOS PARA SU TRATAMIENTO.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Del análisis conjunto de los artículos 4o. de la Constitución Política de los Estados Unidos Mexicanos y 12, numeral 2, inciso d), del Pacto Internacional de Derechos Económicos, Sociales y Culturales se desprende que el Estado mexicano se encuentra obligado a crear las condiciones que aseguren a todas las personas la asistencia y servicios médicos en casos de enfermedad. Asimismo, se advierte que una cuestión fundamental e inherente a la debida protección del derecho a la salud es que los servicios se presten de manera integral, lo que implica que se debe proporcionar un tratamiento adecuado y completo. En este sentido, la debida protección del derecho a la salud incluye, cuando menos, el suministro de medicamentos básicos. Por otra parte, bajo la premisa de que la Constitución Política de los Estados Unidos Mexicanos y los tratados internacionales de los que el Estado mexicano es parte otorgan el mismo tratamiento normativo a la protección de la salud física y la mental, se puede concluir que el Estado está obligado a prestar los servicios de salud mental de manera integral y, específicamente, a suministrar los medicamentos básicos necesarios para su tratamiento.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Amparo en revisión 251/2016. Javier Ezra González Gómez. 15 de mayo de 2019. Unanimidad de cuatro votos de los Ministros Alberto Pérez Dayán, José Fernando Franco González Salas, Yasmín Esquivel Mossa y Javier Laynez Potisek. Impedido: Eduardo Medina Mora I. Ponente: Javier Laynez Potisek. Secretario: José Omar Hernández Salgado.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Esta tesis se publicó el viernes 13 de septiembre de 2019 a las 10:22 horas en el Semanario Judicial de la Federación.</w:t>
      </w:r>
    </w:p>
    <w:p w:rsidR="00DF4278" w:rsidRPr="0018476D" w:rsidRDefault="00DF4278" w:rsidP="00DF4278">
      <w:pPr>
        <w:pStyle w:val="Sinespaciado"/>
        <w:ind w:left="426" w:right="191"/>
        <w:jc w:val="center"/>
        <w:rPr>
          <w:rFonts w:ascii="Arial" w:hAnsi="Arial" w:cs="Arial"/>
          <w:b/>
          <w:color w:val="000000" w:themeColor="text1"/>
        </w:rPr>
      </w:pPr>
      <w:r w:rsidRPr="0018476D">
        <w:rPr>
          <w:rFonts w:ascii="Arial" w:hAnsi="Arial" w:cs="Arial"/>
          <w:b/>
          <w:color w:val="000000" w:themeColor="text1"/>
        </w:rPr>
        <w:t>II</w:t>
      </w:r>
      <w:r w:rsidR="0018476D" w:rsidRPr="0018476D">
        <w:rPr>
          <w:rFonts w:ascii="Arial" w:hAnsi="Arial" w:cs="Arial"/>
          <w:b/>
          <w:color w:val="000000" w:themeColor="text1"/>
        </w:rPr>
        <w:t>.- FUNDAMENTO LEGAL</w:t>
      </w:r>
    </w:p>
    <w:p w:rsidR="00DF4278" w:rsidRPr="0018476D" w:rsidRDefault="00DF4278" w:rsidP="00DF4278">
      <w:pPr>
        <w:pStyle w:val="Sinespaciado"/>
        <w:ind w:left="426" w:right="191"/>
        <w:jc w:val="both"/>
        <w:rPr>
          <w:rFonts w:ascii="Arial" w:hAnsi="Arial" w:cs="Arial"/>
          <w:b/>
          <w:color w:val="000000" w:themeColor="text1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7A6C">
        <w:rPr>
          <w:rFonts w:ascii="Arial" w:hAnsi="Arial" w:cs="Arial"/>
          <w:color w:val="000000" w:themeColor="text1"/>
          <w:sz w:val="22"/>
          <w:szCs w:val="22"/>
        </w:rPr>
        <w:t>La presente propuesta de fue redactada de conformidad en lo dispuesto en: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4278" w:rsidRPr="00AC7A6C" w:rsidRDefault="00DF4278" w:rsidP="00DF4278">
      <w:pPr>
        <w:pStyle w:val="Default"/>
        <w:numPr>
          <w:ilvl w:val="0"/>
          <w:numId w:val="1"/>
        </w:numPr>
        <w:ind w:left="426" w:right="191" w:firstLine="0"/>
        <w:jc w:val="both"/>
        <w:rPr>
          <w:color w:val="000000" w:themeColor="text1"/>
          <w:sz w:val="22"/>
          <w:szCs w:val="22"/>
        </w:rPr>
      </w:pPr>
      <w:r w:rsidRPr="00AC7A6C">
        <w:rPr>
          <w:color w:val="000000" w:themeColor="text1"/>
          <w:sz w:val="22"/>
          <w:szCs w:val="22"/>
        </w:rPr>
        <w:t>Párrafo segundo de la fracción II y, el inciso h) de la fracción III, del Artículo 115 de la Constitución Política de la de los Estados Unidos Mexicanos.</w:t>
      </w:r>
    </w:p>
    <w:p w:rsidR="00DF4278" w:rsidRPr="00AC7A6C" w:rsidRDefault="00DF4278" w:rsidP="00DF4278">
      <w:pPr>
        <w:pStyle w:val="Default"/>
        <w:ind w:left="426" w:right="191"/>
        <w:jc w:val="both"/>
        <w:rPr>
          <w:color w:val="000000" w:themeColor="text1"/>
          <w:sz w:val="22"/>
          <w:szCs w:val="22"/>
        </w:rPr>
      </w:pPr>
    </w:p>
    <w:p w:rsidR="00DF4278" w:rsidRPr="00AC7A6C" w:rsidRDefault="00DF4278" w:rsidP="00DF4278">
      <w:pPr>
        <w:pStyle w:val="Default"/>
        <w:numPr>
          <w:ilvl w:val="0"/>
          <w:numId w:val="1"/>
        </w:numPr>
        <w:ind w:left="426" w:right="191" w:firstLine="0"/>
        <w:jc w:val="both"/>
        <w:rPr>
          <w:color w:val="000000" w:themeColor="text1"/>
          <w:sz w:val="22"/>
          <w:szCs w:val="22"/>
        </w:rPr>
      </w:pPr>
      <w:r w:rsidRPr="00AC7A6C">
        <w:rPr>
          <w:color w:val="000000" w:themeColor="text1"/>
          <w:sz w:val="22"/>
          <w:szCs w:val="22"/>
        </w:rPr>
        <w:t xml:space="preserve">Artículos 158 – B, 158 – C, 158 – F, 158 – N, por el numeral 1 de la fracción I del artículo 158 – U y, por el inciso h) de la fracción III del mismo artículo 158 – U; todos ellos de la Constitución Política del Estado de Coahuila de Zaragoza. </w:t>
      </w:r>
    </w:p>
    <w:p w:rsidR="00DF4278" w:rsidRPr="00AC7A6C" w:rsidRDefault="00DF4278" w:rsidP="00DF4278">
      <w:pPr>
        <w:pStyle w:val="Prrafodelista"/>
        <w:ind w:left="426" w:right="191"/>
        <w:rPr>
          <w:rFonts w:ascii="Arial" w:hAnsi="Arial" w:cs="Arial"/>
          <w:color w:val="000000" w:themeColor="text1"/>
          <w:sz w:val="22"/>
          <w:szCs w:val="22"/>
        </w:rPr>
      </w:pPr>
    </w:p>
    <w:p w:rsidR="00DF4278" w:rsidRPr="00AC7A6C" w:rsidRDefault="00DF4278" w:rsidP="00DF4278">
      <w:pPr>
        <w:pStyle w:val="Sinespaciado"/>
        <w:numPr>
          <w:ilvl w:val="0"/>
          <w:numId w:val="1"/>
        </w:numPr>
        <w:ind w:left="426" w:right="191" w:firstLine="0"/>
        <w:jc w:val="both"/>
        <w:rPr>
          <w:rFonts w:ascii="Arial" w:hAnsi="Arial" w:cs="Arial"/>
          <w:color w:val="000000" w:themeColor="text1"/>
        </w:rPr>
      </w:pPr>
      <w:r w:rsidRPr="00AC7A6C">
        <w:rPr>
          <w:rFonts w:ascii="Arial" w:hAnsi="Arial" w:cs="Arial"/>
          <w:color w:val="000000" w:themeColor="text1"/>
        </w:rPr>
        <w:t xml:space="preserve">Artículos 102 fracción I numeral 1, 114, 173, 175, y 182 </w:t>
      </w:r>
      <w:r w:rsidR="003A2AF8" w:rsidRPr="00AC7A6C">
        <w:rPr>
          <w:rFonts w:ascii="Arial" w:hAnsi="Arial" w:cs="Arial"/>
          <w:color w:val="000000" w:themeColor="text1"/>
        </w:rPr>
        <w:t>fracción III inciso</w:t>
      </w:r>
      <w:r w:rsidRPr="00AC7A6C">
        <w:rPr>
          <w:rFonts w:ascii="Arial" w:hAnsi="Arial" w:cs="Arial"/>
          <w:color w:val="000000" w:themeColor="text1"/>
        </w:rPr>
        <w:t xml:space="preserve"> 17</w:t>
      </w:r>
      <w:r w:rsidR="003A2AF8" w:rsidRPr="00AC7A6C">
        <w:rPr>
          <w:rFonts w:ascii="Arial" w:hAnsi="Arial" w:cs="Arial"/>
          <w:color w:val="000000" w:themeColor="text1"/>
        </w:rPr>
        <w:t>) del</w:t>
      </w:r>
      <w:r w:rsidRPr="00AC7A6C">
        <w:rPr>
          <w:rFonts w:ascii="Arial" w:hAnsi="Arial" w:cs="Arial"/>
          <w:color w:val="000000" w:themeColor="text1"/>
        </w:rPr>
        <w:t xml:space="preserve"> Código Municipal del Estado de Coahuila de Zaragoza.</w:t>
      </w:r>
    </w:p>
    <w:p w:rsidR="00DF4278" w:rsidRPr="00AC7A6C" w:rsidRDefault="00DF4278" w:rsidP="00DF4278">
      <w:pPr>
        <w:ind w:left="426" w:right="191"/>
        <w:rPr>
          <w:rFonts w:ascii="Arial" w:hAnsi="Arial" w:cs="Arial"/>
          <w:color w:val="000000" w:themeColor="text1"/>
          <w:sz w:val="22"/>
          <w:szCs w:val="22"/>
        </w:rPr>
      </w:pPr>
    </w:p>
    <w:p w:rsidR="00DF4278" w:rsidRPr="0018476D" w:rsidRDefault="00DF4278" w:rsidP="00DF4278">
      <w:pPr>
        <w:pStyle w:val="Sinespaciado"/>
        <w:ind w:left="426" w:right="191"/>
        <w:jc w:val="center"/>
        <w:rPr>
          <w:rFonts w:ascii="Arial" w:hAnsi="Arial" w:cs="Arial"/>
          <w:b/>
          <w:color w:val="000000" w:themeColor="text1"/>
        </w:rPr>
      </w:pPr>
      <w:r w:rsidRPr="0018476D">
        <w:rPr>
          <w:rFonts w:ascii="Arial" w:hAnsi="Arial" w:cs="Arial"/>
          <w:b/>
          <w:color w:val="000000" w:themeColor="text1"/>
        </w:rPr>
        <w:t xml:space="preserve">III.- </w:t>
      </w:r>
      <w:r w:rsidR="0018476D" w:rsidRPr="0018476D">
        <w:rPr>
          <w:rFonts w:ascii="Arial" w:hAnsi="Arial" w:cs="Arial"/>
          <w:b/>
          <w:color w:val="000000" w:themeColor="text1"/>
        </w:rPr>
        <w:t>ALCANCE JURÍDICO</w:t>
      </w:r>
    </w:p>
    <w:p w:rsidR="00DF4278" w:rsidRPr="0018476D" w:rsidRDefault="00DF4278" w:rsidP="00DF4278">
      <w:pPr>
        <w:ind w:left="426" w:right="191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AC7A6C">
        <w:rPr>
          <w:rFonts w:ascii="Arial" w:hAnsi="Arial" w:cs="Arial"/>
          <w:sz w:val="22"/>
          <w:szCs w:val="22"/>
        </w:rPr>
        <w:t>El presente Reglamento es de orden público e interés social y de observancia general.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pBdr>
          <w:between w:val="nil"/>
        </w:pBdr>
        <w:ind w:left="426" w:right="191"/>
        <w:jc w:val="center"/>
        <w:rPr>
          <w:rFonts w:ascii="Arial" w:hAnsi="Arial" w:cs="Arial"/>
          <w:color w:val="000000"/>
          <w:sz w:val="22"/>
          <w:szCs w:val="22"/>
        </w:rPr>
      </w:pPr>
    </w:p>
    <w:p w:rsidR="00DF4278" w:rsidRPr="00AC7A6C" w:rsidRDefault="00DF4278" w:rsidP="00DF4278">
      <w:pPr>
        <w:ind w:left="426" w:right="191"/>
        <w:rPr>
          <w:rFonts w:ascii="Arial" w:eastAsia="Arial" w:hAnsi="Arial" w:cs="Arial"/>
          <w:sz w:val="22"/>
          <w:szCs w:val="22"/>
        </w:rPr>
      </w:pPr>
      <w:r w:rsidRPr="00AC7A6C">
        <w:rPr>
          <w:rFonts w:ascii="Arial" w:eastAsia="Arial" w:hAnsi="Arial" w:cs="Arial"/>
          <w:sz w:val="22"/>
          <w:szCs w:val="22"/>
        </w:rPr>
        <w:t>Artículo 4. Corresponde al Ayuntamiento, a través de la Dirección de Salud:</w:t>
      </w:r>
    </w:p>
    <w:p w:rsidR="00DF4278" w:rsidRPr="00AC7A6C" w:rsidRDefault="00DF4278" w:rsidP="00DF4278">
      <w:pPr>
        <w:ind w:left="426" w:right="191"/>
        <w:rPr>
          <w:rFonts w:ascii="Arial" w:eastAsia="Arial" w:hAnsi="Arial" w:cs="Arial"/>
          <w:sz w:val="22"/>
          <w:szCs w:val="22"/>
        </w:rPr>
      </w:pPr>
      <w:r w:rsidRPr="00AC7A6C">
        <w:rPr>
          <w:rFonts w:ascii="Arial" w:eastAsia="Arial" w:hAnsi="Arial" w:cs="Arial"/>
          <w:sz w:val="22"/>
          <w:szCs w:val="22"/>
        </w:rPr>
        <w:t>I-III. (…)</w:t>
      </w:r>
    </w:p>
    <w:p w:rsidR="00DF4278" w:rsidRPr="00AC7A6C" w:rsidRDefault="00DF4278" w:rsidP="00DF4278">
      <w:pPr>
        <w:widowControl w:val="0"/>
        <w:ind w:left="426" w:right="191"/>
        <w:jc w:val="both"/>
        <w:rPr>
          <w:rFonts w:ascii="Arial" w:eastAsia="Arial" w:hAnsi="Arial" w:cs="Arial"/>
          <w:sz w:val="22"/>
          <w:szCs w:val="22"/>
        </w:rPr>
      </w:pPr>
      <w:r w:rsidRPr="00AC7A6C">
        <w:rPr>
          <w:rFonts w:ascii="Arial" w:eastAsia="Arial" w:hAnsi="Arial" w:cs="Arial"/>
          <w:sz w:val="22"/>
          <w:szCs w:val="22"/>
        </w:rPr>
        <w:t xml:space="preserve">IV. Formular y desarrollar Programas Municipales de Salud, en el marco de los Sistemas Nacional y Estatal de </w:t>
      </w:r>
      <w:r w:rsidR="00AF29B2">
        <w:rPr>
          <w:rFonts w:ascii="Arial" w:eastAsia="Arial" w:hAnsi="Arial" w:cs="Arial"/>
          <w:sz w:val="22"/>
          <w:szCs w:val="22"/>
        </w:rPr>
        <w:t>S</w:t>
      </w:r>
      <w:r w:rsidRPr="00AC7A6C">
        <w:rPr>
          <w:rFonts w:ascii="Arial" w:eastAsia="Arial" w:hAnsi="Arial" w:cs="Arial"/>
          <w:sz w:val="22"/>
          <w:szCs w:val="22"/>
        </w:rPr>
        <w:t>alud.</w:t>
      </w:r>
    </w:p>
    <w:p w:rsidR="00DF4278" w:rsidRPr="00AC7A6C" w:rsidRDefault="00DF4278" w:rsidP="00DF4278">
      <w:pPr>
        <w:widowControl w:val="0"/>
        <w:ind w:left="426" w:right="191"/>
        <w:jc w:val="both"/>
        <w:rPr>
          <w:rFonts w:ascii="Arial" w:eastAsia="Arial" w:hAnsi="Arial" w:cs="Arial"/>
          <w:sz w:val="22"/>
          <w:szCs w:val="22"/>
        </w:rPr>
      </w:pPr>
      <w:r w:rsidRPr="00AC7A6C">
        <w:rPr>
          <w:rFonts w:ascii="Arial" w:eastAsia="Arial" w:hAnsi="Arial" w:cs="Arial"/>
          <w:sz w:val="22"/>
          <w:szCs w:val="22"/>
        </w:rPr>
        <w:t>V-VI (…)</w:t>
      </w:r>
    </w:p>
    <w:p w:rsidR="00DF4278" w:rsidRPr="00AC7A6C" w:rsidRDefault="00DF4278" w:rsidP="00DF4278">
      <w:pPr>
        <w:widowControl w:val="0"/>
        <w:ind w:left="426" w:right="191"/>
        <w:jc w:val="both"/>
        <w:rPr>
          <w:rFonts w:ascii="Arial" w:eastAsia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eastAsia="Arial" w:hAnsi="Arial" w:cs="Arial"/>
          <w:sz w:val="22"/>
          <w:szCs w:val="22"/>
        </w:rPr>
      </w:pPr>
      <w:r w:rsidRPr="00AC7A6C">
        <w:rPr>
          <w:rFonts w:ascii="Arial" w:eastAsia="Arial" w:hAnsi="Arial" w:cs="Arial"/>
          <w:sz w:val="22"/>
          <w:szCs w:val="22"/>
        </w:rPr>
        <w:t>Artículo 25. El Ayuntamiento, a través de la Dirección General de Salud, en el ámbito de su competencia y en coordinación con la Secretaría de Salud en el Estado, realizará acciones de prevención y control de las enfermedades no transmisibles, comprendiendo, según el caso del que se trate, una o más de las siguientes medidas:</w:t>
      </w:r>
    </w:p>
    <w:p w:rsidR="00DF4278" w:rsidRPr="00AC7A6C" w:rsidRDefault="00DF4278" w:rsidP="00DF4278">
      <w:pPr>
        <w:ind w:left="426" w:right="191"/>
        <w:jc w:val="both"/>
        <w:rPr>
          <w:rFonts w:ascii="Arial" w:eastAsia="Arial" w:hAnsi="Arial" w:cs="Arial"/>
          <w:sz w:val="22"/>
          <w:szCs w:val="22"/>
        </w:rPr>
      </w:pPr>
    </w:p>
    <w:p w:rsidR="00DF4278" w:rsidRPr="00AC7A6C" w:rsidRDefault="00DF4278" w:rsidP="00DF4278">
      <w:pPr>
        <w:pStyle w:val="Prrafodelista"/>
        <w:widowControl w:val="0"/>
        <w:numPr>
          <w:ilvl w:val="0"/>
          <w:numId w:val="3"/>
        </w:numPr>
        <w:pBdr>
          <w:between w:val="nil"/>
        </w:pBdr>
        <w:ind w:left="426" w:right="191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7A6C">
        <w:rPr>
          <w:rFonts w:ascii="Arial" w:eastAsia="Arial" w:hAnsi="Arial" w:cs="Arial"/>
          <w:color w:val="000000"/>
          <w:sz w:val="22"/>
          <w:szCs w:val="22"/>
        </w:rPr>
        <w:t>La detección oportuna de las enfermedades no transmisibles y la evaluación del riesgo de contraerlas, así como los trastornos mentales y entornos o padecimientos que los generan.</w:t>
      </w:r>
    </w:p>
    <w:p w:rsidR="00DF4278" w:rsidRPr="00AC7A6C" w:rsidRDefault="00DF4278" w:rsidP="00DF4278">
      <w:pPr>
        <w:widowControl w:val="0"/>
        <w:pBdr>
          <w:between w:val="nil"/>
        </w:pBdr>
        <w:ind w:left="426" w:right="19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F4278" w:rsidRPr="00AC7A6C" w:rsidRDefault="00DF4278" w:rsidP="00DF4278">
      <w:pPr>
        <w:pStyle w:val="Prrafodelista"/>
        <w:widowControl w:val="0"/>
        <w:numPr>
          <w:ilvl w:val="0"/>
          <w:numId w:val="3"/>
        </w:numPr>
        <w:pBdr>
          <w:between w:val="nil"/>
        </w:pBdr>
        <w:ind w:left="426" w:right="191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7A6C">
        <w:rPr>
          <w:rFonts w:ascii="Arial" w:eastAsia="Arial" w:hAnsi="Arial" w:cs="Arial"/>
          <w:color w:val="000000"/>
          <w:sz w:val="22"/>
          <w:szCs w:val="22"/>
        </w:rPr>
        <w:t>La divulgación de medidas higiénicas y de carácter preventivo para el control de dichos padecimientos.</w:t>
      </w:r>
    </w:p>
    <w:p w:rsidR="00DF4278" w:rsidRPr="00AC7A6C" w:rsidRDefault="00DF4278" w:rsidP="00DF4278">
      <w:pPr>
        <w:widowControl w:val="0"/>
        <w:pBdr>
          <w:between w:val="nil"/>
        </w:pBdr>
        <w:ind w:left="426" w:right="19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F4278" w:rsidRPr="00AC7A6C" w:rsidRDefault="00DF4278" w:rsidP="00DF4278">
      <w:pPr>
        <w:pStyle w:val="Prrafodelista"/>
        <w:widowControl w:val="0"/>
        <w:numPr>
          <w:ilvl w:val="0"/>
          <w:numId w:val="3"/>
        </w:numPr>
        <w:pBdr>
          <w:between w:val="nil"/>
        </w:pBdr>
        <w:ind w:left="426" w:right="191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7A6C">
        <w:rPr>
          <w:rFonts w:ascii="Arial" w:eastAsia="Arial" w:hAnsi="Arial" w:cs="Arial"/>
          <w:color w:val="000000"/>
          <w:sz w:val="22"/>
          <w:szCs w:val="22"/>
        </w:rPr>
        <w:t>La prevención específica de cada caso y la vigilancia de su cumplimiento.</w:t>
      </w:r>
    </w:p>
    <w:p w:rsidR="00DF4278" w:rsidRPr="00AC7A6C" w:rsidRDefault="00DF4278" w:rsidP="00DF4278">
      <w:pPr>
        <w:widowControl w:val="0"/>
        <w:pBdr>
          <w:between w:val="nil"/>
        </w:pBdr>
        <w:ind w:left="426" w:right="19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F4278" w:rsidRPr="00AC7A6C" w:rsidRDefault="00DF4278" w:rsidP="00DF4278">
      <w:pPr>
        <w:pStyle w:val="Prrafodelista"/>
        <w:widowControl w:val="0"/>
        <w:numPr>
          <w:ilvl w:val="0"/>
          <w:numId w:val="3"/>
        </w:numPr>
        <w:pBdr>
          <w:between w:val="nil"/>
        </w:pBdr>
        <w:ind w:left="426" w:right="191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7A6C">
        <w:rPr>
          <w:rFonts w:ascii="Arial" w:eastAsia="Arial" w:hAnsi="Arial" w:cs="Arial"/>
          <w:color w:val="000000"/>
          <w:sz w:val="22"/>
          <w:szCs w:val="22"/>
        </w:rPr>
        <w:t>La realización de estudios epidemiológicos, sociológicos y aquellos necesarios para comprobar el estado de salud mental de la población en general.</w:t>
      </w:r>
    </w:p>
    <w:p w:rsidR="00DF4278" w:rsidRPr="00AC7A6C" w:rsidRDefault="00DF4278" w:rsidP="00DF4278">
      <w:pPr>
        <w:widowControl w:val="0"/>
        <w:pBdr>
          <w:between w:val="nil"/>
        </w:pBdr>
        <w:ind w:left="426" w:right="19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F4278" w:rsidRPr="00AC7A6C" w:rsidRDefault="00DF4278" w:rsidP="00DF4278">
      <w:pPr>
        <w:pStyle w:val="Prrafodelista"/>
        <w:widowControl w:val="0"/>
        <w:numPr>
          <w:ilvl w:val="0"/>
          <w:numId w:val="3"/>
        </w:numPr>
        <w:pBdr>
          <w:between w:val="nil"/>
        </w:pBdr>
        <w:ind w:left="426" w:right="191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7A6C">
        <w:rPr>
          <w:rFonts w:ascii="Arial" w:eastAsia="Arial" w:hAnsi="Arial" w:cs="Arial"/>
          <w:color w:val="000000"/>
          <w:sz w:val="22"/>
          <w:szCs w:val="22"/>
        </w:rPr>
        <w:t>Las demás que sean necesarias para la prevención, tratamiento y control de los padecimientos que se presenten en la población.</w:t>
      </w:r>
    </w:p>
    <w:p w:rsidR="00DF4278" w:rsidRPr="00AC7A6C" w:rsidRDefault="00DF4278" w:rsidP="00DF4278">
      <w:pPr>
        <w:pBdr>
          <w:between w:val="nil"/>
        </w:pBdr>
        <w:ind w:left="426" w:right="191"/>
        <w:jc w:val="both"/>
        <w:rPr>
          <w:rFonts w:ascii="Arial" w:hAnsi="Arial" w:cs="Arial"/>
          <w:color w:val="000000"/>
          <w:sz w:val="22"/>
          <w:szCs w:val="22"/>
        </w:rPr>
      </w:pPr>
    </w:p>
    <w:p w:rsidR="00DF4278" w:rsidRPr="002E27E6" w:rsidRDefault="00DF4278" w:rsidP="00DF4278">
      <w:pPr>
        <w:ind w:left="426" w:right="19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27E6">
        <w:rPr>
          <w:rFonts w:ascii="Arial" w:hAnsi="Arial" w:cs="Arial"/>
          <w:b/>
          <w:color w:val="000000"/>
          <w:sz w:val="22"/>
          <w:szCs w:val="22"/>
        </w:rPr>
        <w:t>TRANSITORIOS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2E27E6">
        <w:rPr>
          <w:rFonts w:ascii="Arial" w:hAnsi="Arial" w:cs="Arial"/>
          <w:b/>
          <w:sz w:val="22"/>
          <w:szCs w:val="22"/>
        </w:rPr>
        <w:t>PRIMERO. –</w:t>
      </w:r>
      <w:r w:rsidRPr="00AC7A6C">
        <w:rPr>
          <w:rFonts w:ascii="Arial" w:hAnsi="Arial" w:cs="Arial"/>
          <w:sz w:val="22"/>
          <w:szCs w:val="22"/>
        </w:rPr>
        <w:t xml:space="preserve"> Se reforma el artículo 4 del Reglamento de Salud para el Municipio de Torreón;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2E27E6">
        <w:rPr>
          <w:rFonts w:ascii="Arial" w:hAnsi="Arial" w:cs="Arial"/>
          <w:b/>
          <w:sz w:val="22"/>
          <w:szCs w:val="22"/>
        </w:rPr>
        <w:t>SEGUNDO. –</w:t>
      </w:r>
      <w:r w:rsidRPr="00AC7A6C">
        <w:rPr>
          <w:rFonts w:ascii="Arial" w:hAnsi="Arial" w:cs="Arial"/>
          <w:sz w:val="22"/>
          <w:szCs w:val="22"/>
        </w:rPr>
        <w:t xml:space="preserve"> Se reforman las fracciones I, II y IV del artículo 25 del Reglamento de Salud para el Municipio de Torreón.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2E27E6">
        <w:rPr>
          <w:rFonts w:ascii="Arial" w:hAnsi="Arial" w:cs="Arial"/>
          <w:b/>
          <w:sz w:val="22"/>
          <w:szCs w:val="22"/>
        </w:rPr>
        <w:t>TERCERO. –</w:t>
      </w:r>
      <w:r w:rsidRPr="00AC7A6C">
        <w:rPr>
          <w:rFonts w:ascii="Arial" w:hAnsi="Arial" w:cs="Arial"/>
          <w:sz w:val="22"/>
          <w:szCs w:val="22"/>
        </w:rPr>
        <w:t xml:space="preserve"> Se derogan todas las disposiciones contrarias al presente decreto;</w:t>
      </w: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</w:p>
    <w:p w:rsidR="00DF4278" w:rsidRPr="00AC7A6C" w:rsidRDefault="00DF4278" w:rsidP="00DF4278">
      <w:pPr>
        <w:ind w:left="426" w:right="191"/>
        <w:jc w:val="both"/>
        <w:rPr>
          <w:rFonts w:ascii="Arial" w:hAnsi="Arial" w:cs="Arial"/>
          <w:sz w:val="22"/>
          <w:szCs w:val="22"/>
        </w:rPr>
      </w:pPr>
      <w:r w:rsidRPr="002E27E6">
        <w:rPr>
          <w:rFonts w:ascii="Arial" w:hAnsi="Arial" w:cs="Arial"/>
          <w:b/>
          <w:sz w:val="22"/>
          <w:szCs w:val="22"/>
        </w:rPr>
        <w:t xml:space="preserve">CUARTO. – </w:t>
      </w:r>
      <w:r w:rsidRPr="00AC7A6C">
        <w:rPr>
          <w:rFonts w:ascii="Arial" w:hAnsi="Arial" w:cs="Arial"/>
          <w:sz w:val="22"/>
          <w:szCs w:val="22"/>
        </w:rPr>
        <w:t>Publíquese la presente reforma en la Gaceta Municipal para su entrada en vigor el día de su publicación.</w:t>
      </w:r>
    </w:p>
    <w:p w:rsidR="003A2AF8" w:rsidRDefault="003A2AF8" w:rsidP="003A2AF8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A2AF8">
        <w:rPr>
          <w:rFonts w:ascii="Arial" w:hAnsi="Arial" w:cs="Arial"/>
          <w:iCs/>
          <w:sz w:val="22"/>
          <w:szCs w:val="22"/>
        </w:rPr>
        <w:t xml:space="preserve">Dado en la Ciudad de Torreón, Coahuila de Zaragoza a los </w:t>
      </w:r>
      <w:r>
        <w:rPr>
          <w:rFonts w:ascii="Arial" w:hAnsi="Arial" w:cs="Arial"/>
          <w:iCs/>
          <w:sz w:val="22"/>
          <w:szCs w:val="22"/>
        </w:rPr>
        <w:t>veintisiete</w:t>
      </w:r>
      <w:r w:rsidRPr="003A2AF8">
        <w:rPr>
          <w:rFonts w:ascii="Arial" w:hAnsi="Arial" w:cs="Arial"/>
          <w:iCs/>
          <w:sz w:val="22"/>
          <w:szCs w:val="22"/>
        </w:rPr>
        <w:t xml:space="preserve"> días del mes de </w:t>
      </w:r>
      <w:r>
        <w:rPr>
          <w:rFonts w:ascii="Arial" w:hAnsi="Arial" w:cs="Arial"/>
          <w:iCs/>
          <w:sz w:val="22"/>
          <w:szCs w:val="22"/>
        </w:rPr>
        <w:t>octubre</w:t>
      </w:r>
      <w:r w:rsidRPr="003A2AF8">
        <w:rPr>
          <w:rFonts w:ascii="Arial" w:hAnsi="Arial" w:cs="Arial"/>
          <w:iCs/>
          <w:sz w:val="22"/>
          <w:szCs w:val="22"/>
        </w:rPr>
        <w:t xml:space="preserve"> de dos mil veintidós. </w:t>
      </w:r>
    </w:p>
    <w:p w:rsidR="003A2AF8" w:rsidRPr="003A2AF8" w:rsidRDefault="003A2AF8" w:rsidP="003A2AF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PRESIDENTE MUNICIPAL DE TORREÓN</w:t>
      </w: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LIC. ROMÁN ALBERTO CEPEDA GONZÁLEZ</w:t>
      </w:r>
    </w:p>
    <w:p w:rsidR="008C6B74" w:rsidRPr="003A2AF8" w:rsidRDefault="008C6B74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RUBRICA</w:t>
      </w: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SECRETARIA DEL R.  AYUNTAMIENTO</w:t>
      </w:r>
    </w:p>
    <w:p w:rsidR="003A2AF8" w:rsidRPr="003A2AF8" w:rsidRDefault="003A2AF8" w:rsidP="003A2AF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A2AF8" w:rsidRDefault="003A2AF8" w:rsidP="003A2AF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LIC. NATALIA GUADALUPE FERNÁNDEZ MARTÍNEZ</w:t>
      </w:r>
    </w:p>
    <w:p w:rsidR="008C6B74" w:rsidRPr="003A2AF8" w:rsidRDefault="008C6B74" w:rsidP="008C6B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RUBRICA</w:t>
      </w:r>
    </w:p>
    <w:p w:rsidR="003A2AF8" w:rsidRPr="003A2AF8" w:rsidRDefault="003A2AF8" w:rsidP="008C6B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2AF8" w:rsidRPr="003A2AF8" w:rsidRDefault="003A2AF8" w:rsidP="003A2A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A1F20" w:rsidRPr="003A2AF8" w:rsidRDefault="000A1F20">
      <w:pPr>
        <w:rPr>
          <w:rFonts w:ascii="Arial" w:hAnsi="Arial" w:cs="Arial"/>
          <w:sz w:val="22"/>
          <w:szCs w:val="22"/>
        </w:rPr>
      </w:pPr>
    </w:p>
    <w:sectPr w:rsidR="000A1F20" w:rsidRPr="003A2AF8" w:rsidSect="003A2AF8">
      <w:footerReference w:type="default" r:id="rId7"/>
      <w:pgSz w:w="12240" w:h="15840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66F" w:rsidRDefault="009A366F" w:rsidP="009E1FDF">
      <w:r>
        <w:separator/>
      </w:r>
    </w:p>
  </w:endnote>
  <w:endnote w:type="continuationSeparator" w:id="0">
    <w:p w:rsidR="009A366F" w:rsidRDefault="009A366F" w:rsidP="009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39710"/>
      <w:docPartObj>
        <w:docPartGallery w:val="Page Numbers (Bottom of Page)"/>
        <w:docPartUnique/>
      </w:docPartObj>
    </w:sdtPr>
    <w:sdtEndPr/>
    <w:sdtContent>
      <w:p w:rsidR="009E1FDF" w:rsidRDefault="009E1F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1FDF" w:rsidRDefault="009E1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66F" w:rsidRDefault="009A366F" w:rsidP="009E1FDF">
      <w:r>
        <w:separator/>
      </w:r>
    </w:p>
  </w:footnote>
  <w:footnote w:type="continuationSeparator" w:id="0">
    <w:p w:rsidR="009A366F" w:rsidRDefault="009A366F" w:rsidP="009E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7BC"/>
    <w:multiLevelType w:val="hybridMultilevel"/>
    <w:tmpl w:val="F3B4C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F4C"/>
    <w:multiLevelType w:val="multilevel"/>
    <w:tmpl w:val="85E655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1804"/>
    <w:multiLevelType w:val="hybridMultilevel"/>
    <w:tmpl w:val="32DA3DDC"/>
    <w:lvl w:ilvl="0" w:tplc="C6229CE8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78"/>
    <w:rsid w:val="000A1F20"/>
    <w:rsid w:val="0018476D"/>
    <w:rsid w:val="002E27E6"/>
    <w:rsid w:val="003A2AF8"/>
    <w:rsid w:val="00633486"/>
    <w:rsid w:val="008C6B74"/>
    <w:rsid w:val="009A366F"/>
    <w:rsid w:val="009E1FDF"/>
    <w:rsid w:val="00AC7A6C"/>
    <w:rsid w:val="00AF29B2"/>
    <w:rsid w:val="00B033AC"/>
    <w:rsid w:val="00D0286B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7398"/>
  <w15:chartTrackingRefBased/>
  <w15:docId w15:val="{5EBAA9FF-A374-4056-ABA8-E8B2E5D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F427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F42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F4278"/>
    <w:rPr>
      <w:rFonts w:ascii="Calibri" w:eastAsia="Calibri" w:hAnsi="Calibri" w:cs="Times New Roman"/>
    </w:rPr>
  </w:style>
  <w:style w:type="paragraph" w:customStyle="1" w:styleId="Default">
    <w:name w:val="Default"/>
    <w:rsid w:val="00DF4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E1F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F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1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F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Villa Tapia</dc:creator>
  <cp:keywords/>
  <dc:description/>
  <cp:lastModifiedBy>Guadalupe Villa Tapia</cp:lastModifiedBy>
  <cp:revision>4</cp:revision>
  <dcterms:created xsi:type="dcterms:W3CDTF">2022-11-08T16:03:00Z</dcterms:created>
  <dcterms:modified xsi:type="dcterms:W3CDTF">2022-12-15T19:51:00Z</dcterms:modified>
</cp:coreProperties>
</file>